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592" w:hanging="0"/>
        <w:jc w:val="both"/>
        <w:rPr/>
      </w:pPr>
      <w:r>
        <w:rPr>
          <w:rFonts w:cs="Times New Roman"/>
          <w:b w:val="false"/>
          <w:bCs w:val="false"/>
          <w:sz w:val="24"/>
        </w:rPr>
        <w:t>Об установлении мемориальной доски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sz w:val="24"/>
        </w:rPr>
        <w:t>ОАО «Калужский турбинный завод»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05.09.2018 № 4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Одобрить установку мемориальной доски </w:t>
      </w:r>
      <w:r>
        <w:rPr>
          <w:rFonts w:cs="Times New Roman" w:ascii="Times New Roman" w:hAnsi="Times New Roman"/>
          <w:b w:val="false"/>
          <w:bCs w:val="false"/>
          <w:sz w:val="24"/>
        </w:rPr>
        <w:t>в память о Василии Макаровиче Шукшине на фасаде заводоуправления Калужского турбинного завода по ул.Московская, д.241.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2018-09-03T12:37:11Z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